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4633" w14:textId="77777777" w:rsidR="005C6BCC" w:rsidRDefault="005C6BCC" w:rsidP="00A07CE4">
      <w:pPr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0D0D0D" w:themeColor="text1" w:themeTint="F2"/>
          <w:sz w:val="32"/>
          <w:szCs w:val="32"/>
        </w:rPr>
        <w:t>Licensee</w:t>
      </w:r>
      <w:proofErr w:type="gramEnd"/>
      <w:r>
        <w:rPr>
          <w:rFonts w:ascii="Arial" w:hAnsi="Arial" w:cs="Arial"/>
          <w:b/>
          <w:bCs/>
          <w:color w:val="0D0D0D" w:themeColor="text1" w:themeTint="F2"/>
          <w:sz w:val="32"/>
          <w:szCs w:val="32"/>
        </w:rPr>
        <w:t>/</w:t>
      </w:r>
      <w:r w:rsidR="00A07CE4" w:rsidRPr="00A07CE4">
        <w:rPr>
          <w:rFonts w:ascii="Arial" w:hAnsi="Arial" w:cs="Arial"/>
          <w:b/>
          <w:bCs/>
          <w:color w:val="0D0D0D" w:themeColor="text1" w:themeTint="F2"/>
          <w:sz w:val="32"/>
          <w:szCs w:val="32"/>
        </w:rPr>
        <w:t>Supervisor Reflection Tool</w:t>
      </w:r>
    </w:p>
    <w:p w14:paraId="0109C709" w14:textId="3AF09124" w:rsidR="00A07CE4" w:rsidRPr="00A07CE4" w:rsidRDefault="00A07CE4" w:rsidP="00A07CE4">
      <w:pPr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32"/>
        </w:rPr>
      </w:pPr>
      <w:r w:rsidRPr="00A07CE4">
        <w:rPr>
          <w:rFonts w:ascii="Arial" w:hAnsi="Arial" w:cs="Arial"/>
          <w:b/>
          <w:bCs/>
          <w:color w:val="0D0D0D" w:themeColor="text1" w:themeTint="F2"/>
          <w:sz w:val="32"/>
          <w:szCs w:val="32"/>
        </w:rPr>
        <w:t xml:space="preserve"> Serious Occurrences</w:t>
      </w:r>
    </w:p>
    <w:p w14:paraId="6F256382" w14:textId="77777777" w:rsidR="00A07CE4" w:rsidRDefault="00A07CE4" w:rsidP="00A07CE4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A07CE4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Purpose</w:t>
      </w:r>
    </w:p>
    <w:p w14:paraId="7C6CE61E" w14:textId="74BF508A" w:rsidR="00A07CE4" w:rsidRPr="009D7621" w:rsidRDefault="00655F86" w:rsidP="00A07CE4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5C6414E7">
        <w:rPr>
          <w:rFonts w:ascii="Arial" w:hAnsi="Arial" w:cs="Arial"/>
          <w:color w:val="0D0D0D" w:themeColor="text1" w:themeTint="F2"/>
          <w:sz w:val="24"/>
          <w:szCs w:val="24"/>
        </w:rPr>
        <w:t xml:space="preserve">The Supervisor Reflection Tool supports </w:t>
      </w:r>
      <w:proofErr w:type="gramStart"/>
      <w:r w:rsidRPr="5C6414E7">
        <w:rPr>
          <w:rFonts w:ascii="Arial" w:hAnsi="Arial" w:cs="Arial"/>
          <w:color w:val="0D0D0D" w:themeColor="text1" w:themeTint="F2"/>
          <w:sz w:val="24"/>
          <w:szCs w:val="24"/>
        </w:rPr>
        <w:t>licensees</w:t>
      </w:r>
      <w:proofErr w:type="gramEnd"/>
      <w:r w:rsidRPr="5C6414E7">
        <w:rPr>
          <w:rFonts w:ascii="Arial" w:hAnsi="Arial" w:cs="Arial"/>
          <w:color w:val="0D0D0D" w:themeColor="text1" w:themeTint="F2"/>
          <w:sz w:val="24"/>
          <w:szCs w:val="24"/>
        </w:rPr>
        <w:t xml:space="preserve">/supervisors to assess staff understanding of serious occurrence (SO) requirements under the </w:t>
      </w:r>
      <w:hyperlink r:id="rId10" w:history="1">
        <w:r w:rsidRPr="006A6185">
          <w:rPr>
            <w:rStyle w:val="Hyperlink"/>
            <w:rFonts w:ascii="Arial" w:hAnsi="Arial" w:cs="Arial"/>
            <w:i/>
            <w:iCs/>
            <w:sz w:val="24"/>
            <w:szCs w:val="24"/>
          </w:rPr>
          <w:t>Child Care and Early Years Act, 2014</w:t>
        </w:r>
        <w:r w:rsidR="5A74DC62" w:rsidRPr="006A6185">
          <w:rPr>
            <w:rStyle w:val="Hyperlink"/>
            <w:rFonts w:ascii="Arial" w:hAnsi="Arial" w:cs="Arial"/>
            <w:sz w:val="24"/>
            <w:szCs w:val="24"/>
          </w:rPr>
          <w:t xml:space="preserve"> (CCEYA)</w:t>
        </w:r>
      </w:hyperlink>
      <w:r w:rsidRPr="5C6414E7">
        <w:rPr>
          <w:rFonts w:ascii="Arial" w:hAnsi="Arial" w:cs="Arial"/>
          <w:color w:val="0D0D0D" w:themeColor="text1" w:themeTint="F2"/>
          <w:sz w:val="24"/>
          <w:szCs w:val="24"/>
        </w:rPr>
        <w:t>, identify gaps in reporting practices and</w:t>
      </w:r>
      <w:r w:rsidR="009E1566">
        <w:t xml:space="preserve"> </w:t>
      </w:r>
      <w:r w:rsidR="009E1566" w:rsidRPr="5C6414E7">
        <w:rPr>
          <w:rFonts w:ascii="Arial" w:hAnsi="Arial" w:cs="Arial"/>
          <w:color w:val="0D0D0D" w:themeColor="text1" w:themeTint="F2"/>
          <w:sz w:val="24"/>
          <w:szCs w:val="24"/>
        </w:rPr>
        <w:t>support the strengthening of policies and processes to ensure compliance with regulatory requirements</w:t>
      </w:r>
      <w:r w:rsidRPr="5C6414E7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695"/>
        <w:gridCol w:w="1350"/>
        <w:gridCol w:w="1466"/>
        <w:gridCol w:w="3934"/>
      </w:tblGrid>
      <w:tr w:rsidR="009D7621" w:rsidRPr="005F0093" w14:paraId="0ED6A23B" w14:textId="77777777" w:rsidTr="5C6414E7">
        <w:trPr>
          <w:trHeight w:val="735"/>
        </w:trPr>
        <w:tc>
          <w:tcPr>
            <w:tcW w:w="2695" w:type="dxa"/>
          </w:tcPr>
          <w:p w14:paraId="38B5067B" w14:textId="77777777" w:rsidR="009D7621" w:rsidRPr="005F0093" w:rsidRDefault="009D7621" w:rsidP="00461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3C66119" w14:textId="77777777" w:rsidR="009D7621" w:rsidRPr="00BA13F3" w:rsidRDefault="009D7621" w:rsidP="004610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3F3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466" w:type="dxa"/>
          </w:tcPr>
          <w:p w14:paraId="197DAC5A" w14:textId="6091B7F4" w:rsidR="009D7621" w:rsidRPr="00BA13F3" w:rsidRDefault="009D7621" w:rsidP="004610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3F3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934" w:type="dxa"/>
          </w:tcPr>
          <w:p w14:paraId="3B783D5B" w14:textId="77777777" w:rsidR="009D7621" w:rsidRPr="00BA13F3" w:rsidRDefault="009D7621" w:rsidP="004610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3F3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9D7621" w:rsidRPr="005F0093" w14:paraId="6F195423" w14:textId="77777777" w:rsidTr="00392706">
        <w:trPr>
          <w:trHeight w:val="962"/>
        </w:trPr>
        <w:tc>
          <w:tcPr>
            <w:tcW w:w="2695" w:type="dxa"/>
          </w:tcPr>
          <w:p w14:paraId="1DF757D2" w14:textId="77392C8E" w:rsidR="009D7621" w:rsidRPr="00773C47" w:rsidRDefault="784B57FE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sz w:val="24"/>
                <w:szCs w:val="24"/>
              </w:rPr>
              <w:t>Staff, Student</w:t>
            </w:r>
            <w:r w:rsidR="19199E2B" w:rsidRPr="5C6414E7">
              <w:rPr>
                <w:rFonts w:ascii="Arial" w:hAnsi="Arial" w:cs="Arial"/>
                <w:sz w:val="24"/>
                <w:szCs w:val="24"/>
              </w:rPr>
              <w:t>s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 and Volunteers </w:t>
            </w:r>
            <w:r w:rsidR="59D0AE55" w:rsidRPr="5C6414E7">
              <w:rPr>
                <w:rFonts w:ascii="Arial" w:hAnsi="Arial" w:cs="Arial"/>
                <w:sz w:val="24"/>
                <w:szCs w:val="24"/>
              </w:rPr>
              <w:t>are aware of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 each </w:t>
            </w:r>
            <w:r w:rsidR="36F53025" w:rsidRPr="5C6414E7">
              <w:rPr>
                <w:rFonts w:ascii="Arial" w:hAnsi="Arial" w:cs="Arial"/>
                <w:sz w:val="24"/>
                <w:szCs w:val="24"/>
              </w:rPr>
              <w:t>SO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 category.</w:t>
            </w:r>
          </w:p>
        </w:tc>
        <w:tc>
          <w:tcPr>
            <w:tcW w:w="1350" w:type="dxa"/>
          </w:tcPr>
          <w:p w14:paraId="34F0CF28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05AD1AE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  <w:tc>
          <w:tcPr>
            <w:tcW w:w="3934" w:type="dxa"/>
          </w:tcPr>
          <w:p w14:paraId="08A9A486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</w:tr>
      <w:tr w:rsidR="009D7621" w:rsidRPr="005F0093" w14:paraId="55A82120" w14:textId="77777777" w:rsidTr="5C6414E7">
        <w:trPr>
          <w:trHeight w:val="1268"/>
        </w:trPr>
        <w:tc>
          <w:tcPr>
            <w:tcW w:w="2695" w:type="dxa"/>
          </w:tcPr>
          <w:p w14:paraId="688CC041" w14:textId="7FC1FA14" w:rsidR="009D7621" w:rsidRPr="00773C47" w:rsidRDefault="784B57FE" w:rsidP="00461057">
            <w:pPr>
              <w:rPr>
                <w:rFonts w:ascii="Arial" w:hAnsi="Arial" w:cs="Arial"/>
                <w:sz w:val="24"/>
                <w:szCs w:val="24"/>
              </w:rPr>
            </w:pPr>
            <w:r w:rsidRPr="5C6414E7">
              <w:rPr>
                <w:rFonts w:ascii="Arial" w:hAnsi="Arial" w:cs="Arial"/>
                <w:sz w:val="24"/>
                <w:szCs w:val="24"/>
              </w:rPr>
              <w:t>New Staff, Student</w:t>
            </w:r>
            <w:r w:rsidR="79753304" w:rsidRPr="5C6414E7">
              <w:rPr>
                <w:rFonts w:ascii="Arial" w:hAnsi="Arial" w:cs="Arial"/>
                <w:sz w:val="24"/>
                <w:szCs w:val="24"/>
              </w:rPr>
              <w:t>s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 and Volunteers receive training </w:t>
            </w:r>
            <w:r w:rsidR="0796BB09" w:rsidRPr="5C6414E7">
              <w:rPr>
                <w:rFonts w:ascii="Arial" w:hAnsi="Arial" w:cs="Arial"/>
                <w:sz w:val="24"/>
                <w:szCs w:val="24"/>
              </w:rPr>
              <w:t xml:space="preserve">during onboarding 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on what </w:t>
            </w:r>
            <w:r w:rsidR="3A0C4DB5" w:rsidRPr="5C6414E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1D2E65BC" w:rsidRPr="5C6414E7">
              <w:rPr>
                <w:rFonts w:ascii="Arial" w:hAnsi="Arial" w:cs="Arial"/>
                <w:sz w:val="24"/>
                <w:szCs w:val="24"/>
              </w:rPr>
              <w:t>SO</w:t>
            </w:r>
            <w:r w:rsidR="3A0C4DB5" w:rsidRPr="5C6414E7">
              <w:rPr>
                <w:rFonts w:ascii="Arial" w:hAnsi="Arial" w:cs="Arial"/>
                <w:sz w:val="24"/>
                <w:szCs w:val="24"/>
              </w:rPr>
              <w:t xml:space="preserve"> is</w:t>
            </w:r>
            <w:r w:rsidRPr="5C6414E7">
              <w:rPr>
                <w:rFonts w:ascii="Arial" w:hAnsi="Arial" w:cs="Arial"/>
                <w:sz w:val="24"/>
                <w:szCs w:val="24"/>
              </w:rPr>
              <w:t xml:space="preserve"> and the steps to follow in the event of a </w:t>
            </w:r>
            <w:r w:rsidR="7A47F0B2" w:rsidRPr="5C6414E7">
              <w:rPr>
                <w:rFonts w:ascii="Arial" w:hAnsi="Arial" w:cs="Arial"/>
                <w:sz w:val="24"/>
                <w:szCs w:val="24"/>
              </w:rPr>
              <w:t xml:space="preserve">one. </w:t>
            </w:r>
          </w:p>
        </w:tc>
        <w:tc>
          <w:tcPr>
            <w:tcW w:w="1350" w:type="dxa"/>
          </w:tcPr>
          <w:p w14:paraId="7AB86948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FABF009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  <w:tc>
          <w:tcPr>
            <w:tcW w:w="3934" w:type="dxa"/>
          </w:tcPr>
          <w:p w14:paraId="52244CEE" w14:textId="77777777" w:rsidR="009D7621" w:rsidRPr="005F0093" w:rsidRDefault="009D7621" w:rsidP="00461057">
            <w:pPr>
              <w:rPr>
                <w:rFonts w:ascii="Arial" w:hAnsi="Arial" w:cs="Arial"/>
              </w:rPr>
            </w:pPr>
          </w:p>
        </w:tc>
      </w:tr>
      <w:tr w:rsidR="009D7621" w14:paraId="7FB352B9" w14:textId="77777777" w:rsidTr="5C6414E7">
        <w:trPr>
          <w:trHeight w:val="707"/>
        </w:trPr>
        <w:tc>
          <w:tcPr>
            <w:tcW w:w="2695" w:type="dxa"/>
          </w:tcPr>
          <w:p w14:paraId="60E82D84" w14:textId="7776484D" w:rsidR="009D7621" w:rsidRPr="001D42AE" w:rsidRDefault="784B57FE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Are there misunderstandings about what </w:t>
            </w:r>
            <w:r w:rsidR="3A0C4DB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 </w:t>
            </w:r>
            <w:r w:rsidR="2537D943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="3A0C4DB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erious </w:t>
            </w:r>
            <w:r w:rsidR="32005156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o</w:t>
            </w:r>
            <w:r w:rsidR="3A0C4DB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ccurrence is</w:t>
            </w:r>
            <w:r w:rsidR="59D0AE5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and how to report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14:paraId="46270A01" w14:textId="77777777" w:rsidR="009D7621" w:rsidRDefault="009D7621" w:rsidP="00461057"/>
        </w:tc>
        <w:tc>
          <w:tcPr>
            <w:tcW w:w="1466" w:type="dxa"/>
          </w:tcPr>
          <w:p w14:paraId="726C82D9" w14:textId="77777777" w:rsidR="009D7621" w:rsidRDefault="009D7621" w:rsidP="00461057"/>
        </w:tc>
        <w:tc>
          <w:tcPr>
            <w:tcW w:w="3934" w:type="dxa"/>
          </w:tcPr>
          <w:p w14:paraId="37E24D11" w14:textId="77777777" w:rsidR="009D7621" w:rsidRDefault="009D7621" w:rsidP="00461057"/>
        </w:tc>
      </w:tr>
      <w:tr w:rsidR="007A69D6" w14:paraId="132C7865" w14:textId="77777777" w:rsidTr="5C6414E7">
        <w:trPr>
          <w:trHeight w:val="707"/>
        </w:trPr>
        <w:tc>
          <w:tcPr>
            <w:tcW w:w="2695" w:type="dxa"/>
          </w:tcPr>
          <w:p w14:paraId="72DA4612" w14:textId="79BC0B1A" w:rsidR="007A69D6" w:rsidRPr="00A07CE4" w:rsidRDefault="1895B77C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Do staff understand their roles and responsibilities in reporting, documenting, and responding to </w:t>
            </w:r>
            <w:r w:rsidR="0493A11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SO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14:paraId="3ABF2071" w14:textId="77777777" w:rsidR="007A69D6" w:rsidRDefault="007A69D6" w:rsidP="00461057"/>
        </w:tc>
        <w:tc>
          <w:tcPr>
            <w:tcW w:w="1466" w:type="dxa"/>
          </w:tcPr>
          <w:p w14:paraId="514C6B49" w14:textId="77777777" w:rsidR="007A69D6" w:rsidRDefault="007A69D6" w:rsidP="00461057"/>
        </w:tc>
        <w:tc>
          <w:tcPr>
            <w:tcW w:w="3934" w:type="dxa"/>
          </w:tcPr>
          <w:p w14:paraId="7BBCC05C" w14:textId="77777777" w:rsidR="007A69D6" w:rsidRDefault="007A69D6" w:rsidP="00461057"/>
        </w:tc>
      </w:tr>
      <w:tr w:rsidR="007A69D6" w14:paraId="49A1ACF4" w14:textId="77777777" w:rsidTr="5C6414E7">
        <w:trPr>
          <w:trHeight w:val="707"/>
        </w:trPr>
        <w:tc>
          <w:tcPr>
            <w:tcW w:w="2695" w:type="dxa"/>
          </w:tcPr>
          <w:p w14:paraId="4A697790" w14:textId="24D0B89A" w:rsidR="007A69D6" w:rsidRPr="007A69D6" w:rsidRDefault="1895B77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Does the designate understand their role in reporting a </w:t>
            </w:r>
            <w:r w:rsidR="34F6CC98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SO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to the Ministry of Education in the absence of the licensee/supervisor?</w:t>
            </w:r>
          </w:p>
        </w:tc>
        <w:tc>
          <w:tcPr>
            <w:tcW w:w="1350" w:type="dxa"/>
          </w:tcPr>
          <w:p w14:paraId="4B1C9CD3" w14:textId="77777777" w:rsidR="007A69D6" w:rsidRDefault="007A69D6" w:rsidP="00461057"/>
        </w:tc>
        <w:tc>
          <w:tcPr>
            <w:tcW w:w="1466" w:type="dxa"/>
          </w:tcPr>
          <w:p w14:paraId="23B93427" w14:textId="77777777" w:rsidR="007A69D6" w:rsidRDefault="007A69D6" w:rsidP="00461057"/>
        </w:tc>
        <w:tc>
          <w:tcPr>
            <w:tcW w:w="3934" w:type="dxa"/>
          </w:tcPr>
          <w:p w14:paraId="13128C6B" w14:textId="77777777" w:rsidR="007A69D6" w:rsidRDefault="007A69D6" w:rsidP="00461057"/>
        </w:tc>
      </w:tr>
      <w:tr w:rsidR="009D7621" w14:paraId="2295250C" w14:textId="77777777" w:rsidTr="5C6414E7">
        <w:trPr>
          <w:trHeight w:val="735"/>
        </w:trPr>
        <w:tc>
          <w:tcPr>
            <w:tcW w:w="2695" w:type="dxa"/>
          </w:tcPr>
          <w:p w14:paraId="59B04518" w14:textId="2D5200BC" w:rsidR="009D7621" w:rsidRPr="001D42AE" w:rsidRDefault="784B57FE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Staff, Student</w:t>
            </w:r>
            <w:r w:rsidR="3AFFA48E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and </w:t>
            </w:r>
            <w:r w:rsidR="3A0C4DB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Volunteers understand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that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, in addition to meeting the 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requirements around serious occurrences under the </w:t>
            </w:r>
            <w:r w:rsidR="3A0C4DB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CCEYA, any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suspicion of child 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abuse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or neglect triggers 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mandatory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requirements 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obligations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under the </w:t>
            </w:r>
            <w:r w:rsidRPr="00392706">
              <w:rPr>
                <w:rFonts w:ascii="Arial" w:hAnsi="Arial" w:cs="Arial"/>
                <w:i/>
                <w:iCs/>
                <w:color w:val="0D0D0D" w:themeColor="text1" w:themeTint="F2"/>
                <w:sz w:val="24"/>
                <w:szCs w:val="24"/>
              </w:rPr>
              <w:t xml:space="preserve">Child, Youth and Family Services Act, 2017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(CYFSA) 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and must be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reported to Children’s Aid Society.</w:t>
            </w:r>
          </w:p>
        </w:tc>
        <w:tc>
          <w:tcPr>
            <w:tcW w:w="1350" w:type="dxa"/>
          </w:tcPr>
          <w:p w14:paraId="5A57952A" w14:textId="77777777" w:rsidR="009D7621" w:rsidRDefault="009D7621" w:rsidP="00461057"/>
        </w:tc>
        <w:tc>
          <w:tcPr>
            <w:tcW w:w="1466" w:type="dxa"/>
          </w:tcPr>
          <w:p w14:paraId="35FB0900" w14:textId="77777777" w:rsidR="009D7621" w:rsidRDefault="009D7621" w:rsidP="00461057"/>
        </w:tc>
        <w:tc>
          <w:tcPr>
            <w:tcW w:w="3934" w:type="dxa"/>
          </w:tcPr>
          <w:p w14:paraId="0DFF9F76" w14:textId="77777777" w:rsidR="009D7621" w:rsidRDefault="009D7621" w:rsidP="00461057"/>
        </w:tc>
      </w:tr>
      <w:tr w:rsidR="009D7621" w14:paraId="74491D6F" w14:textId="77777777" w:rsidTr="00392706">
        <w:trPr>
          <w:trHeight w:val="4220"/>
        </w:trPr>
        <w:tc>
          <w:tcPr>
            <w:tcW w:w="2695" w:type="dxa"/>
          </w:tcPr>
          <w:p w14:paraId="0489709C" w14:textId="6ABF7EEF" w:rsidR="009D7621" w:rsidRDefault="1895B77C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Licensees, their designate and supervisors have access to C</w:t>
            </w:r>
            <w:r w:rsidR="65D19B05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hild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</w:t>
            </w:r>
            <w:r w:rsidR="38FF1F81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are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L</w:t>
            </w:r>
            <w:r w:rsidR="2A9C81C9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icensing 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</w:t>
            </w:r>
            <w:r w:rsidR="024119F6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ystem (CCLS)</w:t>
            </w:r>
            <w:r w:rsidR="0396A6DB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.  When CCLS access is unavailable, they understand they must still report the SO to the ministry and have the contact information (e.g. email or telephone number) of the assigne</w:t>
            </w:r>
            <w:r w:rsidR="0061494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d inspector.</w:t>
            </w:r>
          </w:p>
        </w:tc>
        <w:tc>
          <w:tcPr>
            <w:tcW w:w="1350" w:type="dxa"/>
          </w:tcPr>
          <w:p w14:paraId="27B1C7BF" w14:textId="77777777" w:rsidR="009D7621" w:rsidRDefault="009D7621" w:rsidP="00461057"/>
        </w:tc>
        <w:tc>
          <w:tcPr>
            <w:tcW w:w="1466" w:type="dxa"/>
          </w:tcPr>
          <w:p w14:paraId="6A48B144" w14:textId="77777777" w:rsidR="009D7621" w:rsidRDefault="009D7621" w:rsidP="00461057"/>
        </w:tc>
        <w:tc>
          <w:tcPr>
            <w:tcW w:w="3934" w:type="dxa"/>
          </w:tcPr>
          <w:p w14:paraId="0F84CA14" w14:textId="77777777" w:rsidR="009D7621" w:rsidRDefault="009D7621" w:rsidP="00461057"/>
        </w:tc>
      </w:tr>
      <w:tr w:rsidR="007A69D6" w14:paraId="126A1DF3" w14:textId="77777777" w:rsidTr="5C6414E7">
        <w:trPr>
          <w:trHeight w:val="735"/>
        </w:trPr>
        <w:tc>
          <w:tcPr>
            <w:tcW w:w="2695" w:type="dxa"/>
          </w:tcPr>
          <w:p w14:paraId="6F3CF184" w14:textId="40F67B08" w:rsidR="007A69D6" w:rsidRDefault="1895B77C" w:rsidP="0046105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Are accident reports and daily written records reviewed against </w:t>
            </w:r>
            <w:r w:rsidR="44925AF4"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SO</w:t>
            </w:r>
            <w:r w:rsidRPr="5C6414E7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definitions to ensure that the incidents did not meet the SO criteria?</w:t>
            </w:r>
          </w:p>
        </w:tc>
        <w:tc>
          <w:tcPr>
            <w:tcW w:w="1350" w:type="dxa"/>
          </w:tcPr>
          <w:p w14:paraId="100A42E0" w14:textId="77777777" w:rsidR="007A69D6" w:rsidRDefault="007A69D6" w:rsidP="00461057"/>
        </w:tc>
        <w:tc>
          <w:tcPr>
            <w:tcW w:w="1466" w:type="dxa"/>
          </w:tcPr>
          <w:p w14:paraId="74B450D5" w14:textId="77777777" w:rsidR="007A69D6" w:rsidRDefault="007A69D6" w:rsidP="00461057"/>
        </w:tc>
        <w:tc>
          <w:tcPr>
            <w:tcW w:w="3934" w:type="dxa"/>
          </w:tcPr>
          <w:p w14:paraId="448DE3D4" w14:textId="77777777" w:rsidR="007A69D6" w:rsidRDefault="007A69D6" w:rsidP="00461057"/>
        </w:tc>
      </w:tr>
    </w:tbl>
    <w:p w14:paraId="351FD63B" w14:textId="1DCC6B89" w:rsidR="00A07CE4" w:rsidRDefault="00A07CE4" w:rsidP="00A07CE4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0BA02698" w14:textId="0D6BC767" w:rsidR="009D7621" w:rsidRDefault="009D7621" w:rsidP="00A07CE4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280EAFDE" w14:textId="403A75F7" w:rsidR="00B80D0F" w:rsidRDefault="00B80D0F" w:rsidP="00A07CE4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73FFAF04" w14:textId="48C171E0" w:rsidR="00746334" w:rsidRDefault="00746334" w:rsidP="00A07CE4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55F28193" w14:textId="77777777" w:rsidR="0088156D" w:rsidRPr="00A07CE4" w:rsidRDefault="0088156D">
      <w:pPr>
        <w:rPr>
          <w:rFonts w:ascii="Arial" w:hAnsi="Arial" w:cs="Arial"/>
          <w:sz w:val="24"/>
          <w:szCs w:val="24"/>
        </w:rPr>
      </w:pPr>
    </w:p>
    <w:sectPr w:rsidR="0088156D" w:rsidRPr="00A07CE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8743" w14:textId="77777777" w:rsidR="000E70C0" w:rsidRDefault="000E70C0" w:rsidP="00F063BB">
      <w:pPr>
        <w:spacing w:after="0" w:line="240" w:lineRule="auto"/>
      </w:pPr>
      <w:r>
        <w:separator/>
      </w:r>
    </w:p>
  </w:endnote>
  <w:endnote w:type="continuationSeparator" w:id="0">
    <w:p w14:paraId="575BD505" w14:textId="77777777" w:rsidR="000E70C0" w:rsidRDefault="000E70C0" w:rsidP="00F0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435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07818" w14:textId="783F6290" w:rsidR="003D6024" w:rsidRDefault="003D60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6A1E" w14:textId="77777777" w:rsidR="003D6024" w:rsidRDefault="003D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120" w14:textId="77777777" w:rsidR="000E70C0" w:rsidRDefault="000E70C0" w:rsidP="00F063BB">
      <w:pPr>
        <w:spacing w:after="0" w:line="240" w:lineRule="auto"/>
      </w:pPr>
      <w:r>
        <w:separator/>
      </w:r>
    </w:p>
  </w:footnote>
  <w:footnote w:type="continuationSeparator" w:id="0">
    <w:p w14:paraId="206E87D1" w14:textId="77777777" w:rsidR="000E70C0" w:rsidRDefault="000E70C0" w:rsidP="00F0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B250" w14:textId="7BEDB207" w:rsidR="00F063BB" w:rsidRDefault="00963CB9">
    <w:pPr>
      <w:pStyle w:val="Header"/>
    </w:pPr>
    <w:r>
      <w:t xml:space="preserve">May </w:t>
    </w:r>
    <w:r w:rsidR="00F063B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219"/>
    <w:multiLevelType w:val="multilevel"/>
    <w:tmpl w:val="47829566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06E0"/>
    <w:multiLevelType w:val="multilevel"/>
    <w:tmpl w:val="C99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74D41"/>
    <w:multiLevelType w:val="multilevel"/>
    <w:tmpl w:val="D380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5171"/>
    <w:multiLevelType w:val="hybridMultilevel"/>
    <w:tmpl w:val="9F46D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EC8"/>
    <w:multiLevelType w:val="multilevel"/>
    <w:tmpl w:val="BAC2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66F74"/>
    <w:multiLevelType w:val="multilevel"/>
    <w:tmpl w:val="1722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132FA"/>
    <w:multiLevelType w:val="hybridMultilevel"/>
    <w:tmpl w:val="BF2E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35144"/>
    <w:multiLevelType w:val="multilevel"/>
    <w:tmpl w:val="AE3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92965">
    <w:abstractNumId w:val="2"/>
  </w:num>
  <w:num w:numId="2" w16cid:durableId="1716388700">
    <w:abstractNumId w:val="4"/>
  </w:num>
  <w:num w:numId="3" w16cid:durableId="1762949901">
    <w:abstractNumId w:val="1"/>
  </w:num>
  <w:num w:numId="4" w16cid:durableId="1566604215">
    <w:abstractNumId w:val="5"/>
  </w:num>
  <w:num w:numId="5" w16cid:durableId="172425775">
    <w:abstractNumId w:val="7"/>
  </w:num>
  <w:num w:numId="6" w16cid:durableId="2073966612">
    <w:abstractNumId w:val="0"/>
  </w:num>
  <w:num w:numId="7" w16cid:durableId="841434252">
    <w:abstractNumId w:val="6"/>
  </w:num>
  <w:num w:numId="8" w16cid:durableId="14097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E4"/>
    <w:rsid w:val="00001D90"/>
    <w:rsid w:val="0003167E"/>
    <w:rsid w:val="0003762F"/>
    <w:rsid w:val="000B2737"/>
    <w:rsid w:val="000D7B4D"/>
    <w:rsid w:val="000E3E9C"/>
    <w:rsid w:val="000E70C0"/>
    <w:rsid w:val="0011421C"/>
    <w:rsid w:val="00131077"/>
    <w:rsid w:val="00177CFD"/>
    <w:rsid w:val="001B36FE"/>
    <w:rsid w:val="001D42AE"/>
    <w:rsid w:val="001D4801"/>
    <w:rsid w:val="00224CC3"/>
    <w:rsid w:val="002270CE"/>
    <w:rsid w:val="002311F0"/>
    <w:rsid w:val="00240470"/>
    <w:rsid w:val="0026227E"/>
    <w:rsid w:val="002A616C"/>
    <w:rsid w:val="002C53BC"/>
    <w:rsid w:val="002D1CCC"/>
    <w:rsid w:val="003129C7"/>
    <w:rsid w:val="00340AC4"/>
    <w:rsid w:val="00360DB1"/>
    <w:rsid w:val="00392706"/>
    <w:rsid w:val="003B1871"/>
    <w:rsid w:val="003C2F9A"/>
    <w:rsid w:val="003C5ADD"/>
    <w:rsid w:val="003D4F6C"/>
    <w:rsid w:val="003D6024"/>
    <w:rsid w:val="003F1C83"/>
    <w:rsid w:val="00457E40"/>
    <w:rsid w:val="00491543"/>
    <w:rsid w:val="00581E38"/>
    <w:rsid w:val="005C6BCC"/>
    <w:rsid w:val="005E0DEB"/>
    <w:rsid w:val="006010F1"/>
    <w:rsid w:val="00604F19"/>
    <w:rsid w:val="00614940"/>
    <w:rsid w:val="006349A3"/>
    <w:rsid w:val="006375F3"/>
    <w:rsid w:val="00641A5B"/>
    <w:rsid w:val="00654B3B"/>
    <w:rsid w:val="00655F86"/>
    <w:rsid w:val="006622A0"/>
    <w:rsid w:val="0068586D"/>
    <w:rsid w:val="00697AE6"/>
    <w:rsid w:val="006A22C3"/>
    <w:rsid w:val="006A6185"/>
    <w:rsid w:val="006E5A36"/>
    <w:rsid w:val="00746334"/>
    <w:rsid w:val="00773C47"/>
    <w:rsid w:val="007A1720"/>
    <w:rsid w:val="007A1CFA"/>
    <w:rsid w:val="007A69D6"/>
    <w:rsid w:val="007B3722"/>
    <w:rsid w:val="007E1358"/>
    <w:rsid w:val="007F6315"/>
    <w:rsid w:val="00826AA9"/>
    <w:rsid w:val="0088156D"/>
    <w:rsid w:val="008D2AB9"/>
    <w:rsid w:val="008D2BEF"/>
    <w:rsid w:val="008D3779"/>
    <w:rsid w:val="008D3CA4"/>
    <w:rsid w:val="0090018E"/>
    <w:rsid w:val="009161D8"/>
    <w:rsid w:val="0092636D"/>
    <w:rsid w:val="00931D75"/>
    <w:rsid w:val="00963CB9"/>
    <w:rsid w:val="009D7621"/>
    <w:rsid w:val="009E1566"/>
    <w:rsid w:val="00A07CE4"/>
    <w:rsid w:val="00A42BE5"/>
    <w:rsid w:val="00A5256D"/>
    <w:rsid w:val="00A64E11"/>
    <w:rsid w:val="00A70643"/>
    <w:rsid w:val="00AA16D5"/>
    <w:rsid w:val="00B02519"/>
    <w:rsid w:val="00B12280"/>
    <w:rsid w:val="00B22D00"/>
    <w:rsid w:val="00B4105C"/>
    <w:rsid w:val="00B56DC0"/>
    <w:rsid w:val="00B62F54"/>
    <w:rsid w:val="00B66AA3"/>
    <w:rsid w:val="00B80D0F"/>
    <w:rsid w:val="00B9101C"/>
    <w:rsid w:val="00B9286A"/>
    <w:rsid w:val="00B9435B"/>
    <w:rsid w:val="00BA13F3"/>
    <w:rsid w:val="00BB39E5"/>
    <w:rsid w:val="00BD6E07"/>
    <w:rsid w:val="00BE4B34"/>
    <w:rsid w:val="00C03762"/>
    <w:rsid w:val="00C50B96"/>
    <w:rsid w:val="00C93A4B"/>
    <w:rsid w:val="00CC0F47"/>
    <w:rsid w:val="00CC6725"/>
    <w:rsid w:val="00D17878"/>
    <w:rsid w:val="00D526C1"/>
    <w:rsid w:val="00D97613"/>
    <w:rsid w:val="00DA6E35"/>
    <w:rsid w:val="00DB5DEC"/>
    <w:rsid w:val="00DF4171"/>
    <w:rsid w:val="00E01282"/>
    <w:rsid w:val="00E4287B"/>
    <w:rsid w:val="00E56B78"/>
    <w:rsid w:val="00E64E96"/>
    <w:rsid w:val="00E66A13"/>
    <w:rsid w:val="00E72FF1"/>
    <w:rsid w:val="00E96626"/>
    <w:rsid w:val="00EB0FCF"/>
    <w:rsid w:val="00ED57DA"/>
    <w:rsid w:val="00EE1149"/>
    <w:rsid w:val="00F063BB"/>
    <w:rsid w:val="00F22474"/>
    <w:rsid w:val="00FA1079"/>
    <w:rsid w:val="00FB5772"/>
    <w:rsid w:val="00FE3DFF"/>
    <w:rsid w:val="024119F6"/>
    <w:rsid w:val="0396A6DB"/>
    <w:rsid w:val="0493A11B"/>
    <w:rsid w:val="06191981"/>
    <w:rsid w:val="0782E18C"/>
    <w:rsid w:val="0796BB09"/>
    <w:rsid w:val="1895B77C"/>
    <w:rsid w:val="189C0629"/>
    <w:rsid w:val="18B2C6F8"/>
    <w:rsid w:val="19199E2B"/>
    <w:rsid w:val="1D2E65BC"/>
    <w:rsid w:val="2537D943"/>
    <w:rsid w:val="2A9C81C9"/>
    <w:rsid w:val="32005156"/>
    <w:rsid w:val="341054B8"/>
    <w:rsid w:val="34F6CC98"/>
    <w:rsid w:val="36F53025"/>
    <w:rsid w:val="38FF1F81"/>
    <w:rsid w:val="3A0C4DB5"/>
    <w:rsid w:val="3AFFA48E"/>
    <w:rsid w:val="44925AF4"/>
    <w:rsid w:val="4B1B65F0"/>
    <w:rsid w:val="4CED7C22"/>
    <w:rsid w:val="59D0AE55"/>
    <w:rsid w:val="5A74DC62"/>
    <w:rsid w:val="5C6414E7"/>
    <w:rsid w:val="65D19B05"/>
    <w:rsid w:val="784B57FE"/>
    <w:rsid w:val="784FFF6F"/>
    <w:rsid w:val="7874EDB6"/>
    <w:rsid w:val="79753304"/>
    <w:rsid w:val="7A47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A138"/>
  <w15:chartTrackingRefBased/>
  <w15:docId w15:val="{7569EC13-01B1-4570-ABDA-7399BC3F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C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BB"/>
  </w:style>
  <w:style w:type="paragraph" w:styleId="Footer">
    <w:name w:val="footer"/>
    <w:basedOn w:val="Normal"/>
    <w:link w:val="FooterChar"/>
    <w:uiPriority w:val="99"/>
    <w:unhideWhenUsed/>
    <w:rsid w:val="00F0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BB"/>
  </w:style>
  <w:style w:type="table" w:styleId="TableGrid">
    <w:name w:val="Table Grid"/>
    <w:basedOn w:val="TableNormal"/>
    <w:uiPriority w:val="39"/>
    <w:rsid w:val="001D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0A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1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6A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ntario.ca/laws/statute/14c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B39BF64746D44821FF28FD9C6F31A" ma:contentTypeVersion="6" ma:contentTypeDescription="Create a new document." ma:contentTypeScope="" ma:versionID="6b4222a099a16f7c08506fb0e2b6ace8">
  <xsd:schema xmlns:xsd="http://www.w3.org/2001/XMLSchema" xmlns:xs="http://www.w3.org/2001/XMLSchema" xmlns:p="http://schemas.microsoft.com/office/2006/metadata/properties" xmlns:ns2="e8ec1b70-d283-4ef2-b542-c37c82798d39" xmlns:ns3="f744b2a6-7f43-43fe-ab6e-a0f6644fda5f" targetNamespace="http://schemas.microsoft.com/office/2006/metadata/properties" ma:root="true" ma:fieldsID="a1698fdad4d9b76ca13e15ca531ecbce" ns2:_="" ns3:_="">
    <xsd:import namespace="e8ec1b70-d283-4ef2-b542-c37c82798d39"/>
    <xsd:import namespace="f744b2a6-7f43-43fe-ab6e-a0f6644fd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c1b70-d283-4ef2-b542-c37c82798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4b2a6-7f43-43fe-ab6e-a0f6644fd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021BC-CED1-4227-9216-653A39289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c1b70-d283-4ef2-b542-c37c82798d39"/>
    <ds:schemaRef ds:uri="f744b2a6-7f43-43fe-ab6e-a0f6644fd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A0376-D63F-47DC-8895-77379B302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6CAC0-24AD-46F3-9E5F-6239885035D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4</DocSecurity>
  <Lines>12</Lines>
  <Paragraphs>3</Paragraphs>
  <ScaleCrop>false</ScaleCrop>
  <Company>Government of Ontario</Company>
  <LinksUpToDate>false</LinksUpToDate>
  <CharactersWithSpaces>1760</CharactersWithSpaces>
  <SharedDoc>false</SharedDoc>
  <HLinks>
    <vt:vector size="6" baseType="variant"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https://www.ontario.ca/laws/statute/14c11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Lebouc, Kelly (She/Her) (EDU)</dc:creator>
  <cp:keywords/>
  <dc:description/>
  <cp:lastModifiedBy>Gordon, Wanda</cp:lastModifiedBy>
  <cp:revision>2</cp:revision>
  <dcterms:created xsi:type="dcterms:W3CDTF">2026-06-22T20:03:00Z</dcterms:created>
  <dcterms:modified xsi:type="dcterms:W3CDTF">2026-06-22T20:03:00Z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0x010100528B39BF64746D44821FF28FD9C6F31A</vt:lpwstr>
  </property>
</Properties>
</file>